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7" w:rsidRDefault="00BF10C7" w:rsidP="00BF10C7">
      <w:pPr>
        <w:tabs>
          <w:tab w:val="left" w:pos="5739"/>
        </w:tabs>
        <w:jc w:val="center"/>
      </w:pPr>
    </w:p>
    <w:p w:rsidR="00691793" w:rsidRDefault="00691793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76161C" w:rsidP="00BF10C7">
      <w:pPr>
        <w:tabs>
          <w:tab w:val="left" w:pos="5739"/>
        </w:tabs>
        <w:jc w:val="center"/>
      </w:pPr>
      <w:r w:rsidRPr="0076161C">
        <w:rPr>
          <w:noProof/>
          <w:lang w:eastAsia="de-DE"/>
        </w:rPr>
        <w:drawing>
          <wp:inline distT="0" distB="0" distL="0" distR="0">
            <wp:extent cx="6645910" cy="3738909"/>
            <wp:effectExtent l="0" t="0" r="2540" b="0"/>
            <wp:docPr id="2" name="Grafik 2" descr="L:\Marketing\04_Power Quality Mobil\Bilder\PQ-Box 200\PQ-Box 200_real_link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arketing\04_Power Quality Mobil\Bilder\PQ-Box 200\PQ-Box 200_real_links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7" w:rsidRDefault="00BF10C7" w:rsidP="00BF10C7">
      <w:pPr>
        <w:jc w:val="center"/>
      </w:pPr>
    </w:p>
    <w:p w:rsidR="00BF10C7" w:rsidRPr="0010281B" w:rsidRDefault="00BF10C7" w:rsidP="00BF10C7">
      <w:pPr>
        <w:jc w:val="center"/>
        <w:rPr>
          <w:sz w:val="72"/>
        </w:rPr>
      </w:pPr>
      <w:r w:rsidRPr="0010281B">
        <w:rPr>
          <w:sz w:val="72"/>
        </w:rPr>
        <w:t xml:space="preserve">PQ-Box </w:t>
      </w:r>
      <w:r w:rsidR="0076161C">
        <w:rPr>
          <w:sz w:val="72"/>
        </w:rPr>
        <w:t>20</w:t>
      </w:r>
      <w:r w:rsidRPr="0010281B">
        <w:rPr>
          <w:sz w:val="72"/>
        </w:rPr>
        <w:t>0</w:t>
      </w:r>
    </w:p>
    <w:p w:rsidR="00D62252" w:rsidRDefault="00D62252" w:rsidP="00BF10C7">
      <w:pPr>
        <w:jc w:val="center"/>
        <w:rPr>
          <w:sz w:val="32"/>
        </w:rPr>
      </w:pPr>
      <w:r w:rsidRPr="00D62252">
        <w:rPr>
          <w:sz w:val="32"/>
        </w:rPr>
        <w:t xml:space="preserve">Ausschreibungstext </w:t>
      </w:r>
    </w:p>
    <w:p w:rsidR="00BF10C7" w:rsidRDefault="00D62252" w:rsidP="00D62252">
      <w:pPr>
        <w:jc w:val="center"/>
        <w:rPr>
          <w:sz w:val="32"/>
        </w:rPr>
      </w:pPr>
      <w:r>
        <w:rPr>
          <w:sz w:val="32"/>
        </w:rPr>
        <w:t>M</w:t>
      </w:r>
      <w:r w:rsidRPr="00D62252">
        <w:rPr>
          <w:sz w:val="32"/>
        </w:rPr>
        <w:t>obiler Netzanalysator für Nieder-</w:t>
      </w:r>
      <w:r w:rsidR="0076161C">
        <w:rPr>
          <w:sz w:val="32"/>
        </w:rPr>
        <w:t>,</w:t>
      </w:r>
      <w:r w:rsidRPr="00D62252">
        <w:rPr>
          <w:sz w:val="32"/>
        </w:rPr>
        <w:t xml:space="preserve"> Mittel- und Hochspannungsnetze</w:t>
      </w:r>
    </w:p>
    <w:p w:rsidR="00BF10C7" w:rsidRDefault="00BF10C7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3"/>
        <w:gridCol w:w="8973"/>
      </w:tblGrid>
      <w:tr w:rsidR="00BF10C7" w:rsidTr="007C7F5F">
        <w:trPr>
          <w:trHeight w:val="567"/>
        </w:trPr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</w:p>
        </w:tc>
        <w:tc>
          <w:tcPr>
            <w:tcW w:w="9043" w:type="dxa"/>
            <w:vAlign w:val="center"/>
          </w:tcPr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Anforderungen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t>Pos. 1:</w:t>
            </w:r>
          </w:p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Allgemeines</w:t>
            </w:r>
          </w:p>
        </w:tc>
        <w:tc>
          <w:tcPr>
            <w:tcW w:w="9043" w:type="dxa"/>
          </w:tcPr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Ein mobiler Netzanalysator für die Messung von 4 Spannungen und 5 Strömen im Niederspannungsbereich und für die Messung im Mittelspannungs-  oder Hochspannungsbereich über Sekundärwandler.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 muss alle Anforderungen der Messgerätenorm IEC 61000-4-30 Ed. 3 für ein „Klasse A“ Gerät erfüllen. Eine Bestätigung der Messgerätenorm nach IEC 61000-4-30 Class A durch ein unabhängiges Prüflabor muss vorliegen.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Über einen externen Triggereingang (AC/DC Signale von 0 bis 250V) können Störschriebe ausgelöst werden.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Ein AUX Eingang wird für die Erfassung von 0 – 1000 mV Signalen benötigt. Die Einheit und Skalierung muss frei parametrierbar sein. (z.B. für Temperaturerfassung parallel zu 4 x Spannung und 4 x Strom)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Genauigkeit der Spannungs- und Stromeingänge muss &lt; 0,1%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Alle Spannungs- und Stromeingänge müssen AC und DC Signale erfassen können.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Messbereich Spannung P-P: 0-830V AC/1000V DC, geeignet für Messungen in NS-Drehstromsystem und an MS/HS Sekundärwandlern.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Für die Erfassung von Transienten muss das Messgerät eine eigene Messkarte mit einer Abtastrate von mind. 4 MHz und einen Messbereich von mind. -5.000 V bis +5.000 V besitzen.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Messbereich Ströme: bis 3000 A über flexible Stromzangen, alternativ bis 6000 A und Ministromzangen für 1/5 A-Sekundärstromwandler. 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Messzubehör (Stromzangen) muss vom Messsystem selbstständig erkannt werden und alle Einstellungen automatisch vorgenommen werden.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Die Abtastratung der Messkanäle muss synchron mit mindestens 40 kHz für alle Kanäle erfolgen. 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Messeingänge müssen eine Auflösung von 24 Bit haben.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Über ein Grafik-Farbdisplay werden Online-Messwerte wie Spannungen, Ströme, Leistungen, Energieverbrauch, THD sowie die Information über die Anzahl der PQ-Ereignisse und Störschriebe angezeigt.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Für die Datenspeicherung muss das Gerät einen Speicher mit mindestens 4 GB Kapazität haben. Die Speicherkarte muss vom Anwender leicht zu tauschen sein. 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Der Speicher sollte vom Anwender erweiterbar sein auf 32GB.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Die Einhaltung der Grenzwerte folgender Normen ist zu überwachen: 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EN 50160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IEC 61000-2-2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IEC 61000-2-4 (Klasse 1, 2 und 3)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NRS 048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IEEE519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DACHCZ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VDE AR</w:t>
            </w:r>
            <w:r w:rsidR="004A0944">
              <w:t xml:space="preserve"> </w:t>
            </w:r>
            <w:r>
              <w:t>4100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Grenzwerte der EN 50160 und IEC-Normen müssen frei parametrierbar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Der Netzanalysator muss den Winkel der Strom- und Spannungsharmonischen nach der Norm 61000-3-12 berechnen. (Bezug der Phasenwinkel jeder Stromharmonischen ist die Grundschwingung der Spannung)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interne Flickermeter muss die Klasse F1 nach der Norm IEC 61000-4-15 erfüllen.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Einstellungen wie Nennspannung, Wandlerfaktoren, Messintervall können direkt am Gerätedisplay verändert werden (ohne PC)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Intervallzeit aller Messdaten muss frei wählbar sein, im Bereich von 1 Sekunde bis 30 Minuten.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Folgende Messintervalle müssen vom Gerät parallel aufgezeichnet werden können (ohne Einschränkung der Anzahl verfügbarer Messwerte):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200ms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3sec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lastRenderedPageBreak/>
              <w:t>1</w:t>
            </w:r>
            <w:r w:rsidR="004A0944">
              <w:t xml:space="preserve"> </w:t>
            </w:r>
            <w:r>
              <w:t>sec bis 30</w:t>
            </w:r>
            <w:r w:rsidR="004A0944">
              <w:t xml:space="preserve"> </w:t>
            </w:r>
            <w:r>
              <w:t>min variabel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2</w:t>
            </w:r>
            <w:r w:rsidR="004A0944">
              <w:t xml:space="preserve"> Std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Normauswertung mit 10-Minuten-Daten muss ohne Datenverlust bis zu einem Jahr aufgezeichnet werden können.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Es muss keine Vorauswahl von Messwerten gewählt werden.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 muss alle 3.800 Parameter zur Spannungsqualität und Lastanalyse parallel berechnen und aufzeichnen können. (keine Vorauswahl notwendig)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FFT-Berechnung und Darstellung der Harmonischen und Interharmonischen von DC bis 20.000 Hz mit einer Auflösung von 5 Hz.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Der Netzanalysator muss Frequenzen 2 kHz bis 9 kHz nach IEC 61000-4-7 für Spannungen und Ströme berechnen und permanent aufzeichnen können.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Alle Langzeitdaten sowie getriggerten Ereignisse müssen gleichzeitig Phase gegen Erde sowie Phase gegen Phase erfasst und aufgezeichnet werden.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Für jedes Ereignis sind Ereignistyp, Messkanäle, Beginn, Dauer und Extremwert aufzuzeichnen. Ereignisse werden durch Grenzwertverletzungen der EN 50160 oder durch verschiedene Triggermöglichkeiten angeregt.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Alle Triggerschwellen müssen durch den Anwender frei parametrierbar sein und müssen unabhängig von den Einstellungen der EN</w:t>
            </w:r>
            <w:r w:rsidR="002B048E">
              <w:t xml:space="preserve"> </w:t>
            </w:r>
            <w:r>
              <w:t>50160 Grenzwerte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Beim Eintritt von Triggerereignissen sind Oszilloskopdaten sowie 10 ms RMS Daten aufzuzeichnen.</w:t>
            </w:r>
          </w:p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Für die mitgelieferte Hard- und Software ist eine Beschreibung in deutscher Sprache zu übergeben. </w:t>
            </w:r>
          </w:p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Mind. 3 Jahre Gewährleistung auf das Gerät</w:t>
            </w:r>
            <w:r w:rsidR="00E60AB6">
              <w:t>.</w:t>
            </w:r>
          </w:p>
          <w:p w:rsidR="007A14AA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Abmessungen dürfen 240 mm x 180 mm x</w:t>
            </w:r>
            <w:r w:rsidR="007A14AA">
              <w:t xml:space="preserve"> 50</w:t>
            </w:r>
            <w:r>
              <w:t xml:space="preserve"> </w:t>
            </w:r>
            <w:r w:rsidR="007A14AA">
              <w:t>mm nicht überschreiten</w:t>
            </w:r>
          </w:p>
          <w:p w:rsidR="007A14AA" w:rsidRDefault="007A14AA" w:rsidP="002B048E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 muss im Temperaturbereich -20</w:t>
            </w:r>
            <w:r w:rsidR="002B048E">
              <w:t xml:space="preserve"> </w:t>
            </w:r>
            <w:r>
              <w:t>°C bis +60</w:t>
            </w:r>
            <w:r w:rsidR="002B048E">
              <w:t xml:space="preserve"> </w:t>
            </w:r>
            <w:r>
              <w:t>°C fehlerfrei funktionieren.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2:</w:t>
            </w:r>
          </w:p>
          <w:p w:rsidR="00BF10C7" w:rsidRPr="00BF10C7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Funktionen</w:t>
            </w:r>
          </w:p>
        </w:tc>
        <w:tc>
          <w:tcPr>
            <w:tcW w:w="9043" w:type="dxa"/>
          </w:tcPr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Folgende Triggerarten sind bereitzustellen: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Unter- bzw. Überschreitung eines vorgegebenen Effektivwertes (U und I)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Frequenztrigger (Frequenzsprung, Unter.- und Überschreitung)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Hüllkurventrigger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 xml:space="preserve">Effektivwertsprung (U und I) 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Phasensprung (°)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Automatik-Trigger (Die Triggerschwellen werden vom Geräte während der Messung auf die Stärke der Störpegel angepasst)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Triggerereignisse sind als Effektivwerte und Abtastwerte aufzuzeichnen. Aufnahmezeiten und Vorgeschichte können vom Anwender frei parametriert werden.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½ Periodenrekorder – Rekorderlänge mindestens 600 Sekunden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Abtastwerte 40</w:t>
            </w:r>
            <w:r w:rsidR="004A0944">
              <w:t xml:space="preserve"> </w:t>
            </w:r>
            <w:r>
              <w:t>kHz – Rekorderlänge mindestens 4.000 msec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 muss sich im Fehlerfall über eine interne USV bis zu 4 Stunden weiterversorgen können.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Energieversorgung des Gerätes muss flexibel wahlweise mit AC und DC Spannungen im Bereich von 100</w:t>
            </w:r>
            <w:r w:rsidR="004A0944">
              <w:t xml:space="preserve"> </w:t>
            </w:r>
            <w:r>
              <w:t>V bis 500</w:t>
            </w:r>
            <w:r w:rsidR="004A0944">
              <w:t xml:space="preserve"> </w:t>
            </w:r>
            <w:r>
              <w:t>V möglich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Spannungsversorgung des Messgerätes muss über die Messklemmen möglich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Eine Möglichkeit zur externen Zeitsynchronisation über DCF77 und GPS-Funkuhr ist notwendig.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Gerätedisplay und alle Schnittstellen müssen über ein Passwort vor unbefugtem Zugang zu schützen sein.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Das Gerät muss eine Diebstahlsicherung über ein Kensington-</w:t>
            </w:r>
            <w:r w:rsidR="004A0944">
              <w:t>Schloss</w:t>
            </w:r>
            <w:r>
              <w:t xml:space="preserve"> besitzen.</w:t>
            </w:r>
          </w:p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Folgende Messgrößen müssen als kontinuierliche Messung dargestellt werden können: </w:t>
            </w:r>
          </w:p>
          <w:p w:rsidR="00E60AB6" w:rsidRDefault="007A14AA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Effektivwerte jeweils als Minimal.- Mittel.- und Maximalwerte des 10-Minuten-Messintervalls</w:t>
            </w:r>
          </w:p>
          <w:p w:rsidR="00E60AB6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Kurz- und Langzeitflicker</w:t>
            </w:r>
          </w:p>
          <w:p w:rsidR="007A14AA" w:rsidRDefault="00E60AB6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A</w:t>
            </w:r>
            <w:r w:rsidR="007A14AA">
              <w:t xml:space="preserve">ufgezeichnete Triggerereignisse sind ebenfalls als Tabelle oder grafisch darzustellen. </w:t>
            </w:r>
          </w:p>
          <w:p w:rsidR="007A14AA" w:rsidRDefault="007A14AA" w:rsidP="0041721C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Bei getriggerten Ereignissen sollten die Effektivwerte und/oder </w:t>
            </w:r>
            <w:r w:rsidR="00E60AB6">
              <w:t xml:space="preserve">die Kurvenform je nach Vorgabe </w:t>
            </w:r>
            <w:r>
              <w:t xml:space="preserve">auswertbar sein. </w:t>
            </w:r>
          </w:p>
          <w:p w:rsidR="00E60AB6" w:rsidRDefault="007A14AA" w:rsidP="007A14AA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lastRenderedPageBreak/>
              <w:t xml:space="preserve">Bei der grafischen Darstellung muss eine Zoom- und Cursor-Funktion zur Verfügung stehen. </w:t>
            </w:r>
          </w:p>
          <w:p w:rsidR="00BF10C7" w:rsidRDefault="007A14AA" w:rsidP="007A14AA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Auswertesoftware sollte Normberichte zur EN</w:t>
            </w:r>
            <w:r w:rsidR="00E60AB6">
              <w:t xml:space="preserve"> </w:t>
            </w:r>
            <w:r>
              <w:t>50160, IEC</w:t>
            </w:r>
            <w:r w:rsidR="00E60AB6">
              <w:t xml:space="preserve"> </w:t>
            </w:r>
            <w:r>
              <w:t>61000-2-2, IEC</w:t>
            </w:r>
            <w:r w:rsidR="00E60AB6">
              <w:t xml:space="preserve"> </w:t>
            </w:r>
            <w:r>
              <w:t>61000-2-4, NRS</w:t>
            </w:r>
            <w:r w:rsidR="00E60AB6">
              <w:t xml:space="preserve"> </w:t>
            </w:r>
            <w:r>
              <w:t xml:space="preserve">048, DACHCZ und VDE </w:t>
            </w:r>
            <w:r w:rsidR="00E60AB6">
              <w:t>AR 4100 automatisch erstellen.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3:</w:t>
            </w:r>
          </w:p>
          <w:p w:rsidR="008C025F" w:rsidRPr="008C025F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Auswerte-s</w:t>
            </w:r>
            <w:r w:rsidR="008C025F">
              <w:rPr>
                <w:b/>
              </w:rPr>
              <w:t>oftware</w:t>
            </w:r>
          </w:p>
        </w:tc>
        <w:tc>
          <w:tcPr>
            <w:tcW w:w="9043" w:type="dxa"/>
          </w:tcPr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 xml:space="preserve">Für die Auswertung ist ein Programm für die Betriebssysteme </w:t>
            </w:r>
            <w:r w:rsidR="004A0944">
              <w:t>Windows 7,</w:t>
            </w:r>
            <w:r>
              <w:t xml:space="preserve"> 8</w:t>
            </w:r>
            <w:r w:rsidR="004A0944">
              <w:t>,</w:t>
            </w:r>
            <w:r>
              <w:t xml:space="preserve"> 10</w:t>
            </w:r>
            <w:r w:rsidR="004A0944">
              <w:t xml:space="preserve"> &amp;</w:t>
            </w:r>
            <w:r>
              <w:t xml:space="preserve"> 11 bereitzustellen, welches die grafische Darstellung und den Ausdruck der kontinuierlichen Messungen sowie der Triggerereignisse ermöglicht. </w:t>
            </w:r>
          </w:p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Software sollte als echte 64 Bit-Version zur Verfügung stehen.</w:t>
            </w:r>
          </w:p>
          <w:p w:rsidR="007A14AA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Messdaten können exportiert werden in folgenden Formaten:</w:t>
            </w:r>
          </w:p>
          <w:p w:rsidR="007A14AA" w:rsidRDefault="007A14AA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Comtrade-Format für Störschriebe.</w:t>
            </w:r>
          </w:p>
          <w:p w:rsidR="007A14AA" w:rsidRDefault="007A14AA" w:rsidP="00E60AB6">
            <w:pPr>
              <w:pStyle w:val="Listenabsatz"/>
              <w:numPr>
                <w:ilvl w:val="1"/>
                <w:numId w:val="14"/>
              </w:numPr>
              <w:tabs>
                <w:tab w:val="left" w:pos="5739"/>
              </w:tabs>
            </w:pPr>
            <w:r>
              <w:t>CSV und XML für alle Messdaten</w:t>
            </w:r>
            <w:r w:rsidR="00E60AB6">
              <w:t>.</w:t>
            </w:r>
          </w:p>
          <w:p w:rsidR="00E60AB6" w:rsidRDefault="007A14AA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Effektivwerte, Spektraldarstellung der Harmonischen, Pegel- Zeitdiagramme und Oszilloskopbilder können online analysiert werden.</w:t>
            </w:r>
            <w:r w:rsidR="00E60AB6">
              <w:t xml:space="preserve"> </w:t>
            </w:r>
          </w:p>
          <w:p w:rsidR="00E60AB6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Bedienoberfläche der Auswerte- und Bediensoftware der Messgeräte muss in Deutsch sein.</w:t>
            </w:r>
          </w:p>
          <w:p w:rsidR="00BF10C7" w:rsidRDefault="00E60AB6" w:rsidP="00E60AB6">
            <w:pPr>
              <w:pStyle w:val="Listenabsatz"/>
              <w:numPr>
                <w:ilvl w:val="0"/>
                <w:numId w:val="14"/>
              </w:numPr>
              <w:tabs>
                <w:tab w:val="left" w:pos="5739"/>
              </w:tabs>
            </w:pPr>
            <w:r>
              <w:t>Die Software sowie alle Updates des Bedien- und Auswerteprogramms sollten frei von Lizenzen, Dongle und kostenfrei sein.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4: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8C025F">
              <w:rPr>
                <w:b/>
              </w:rPr>
              <w:t>App</w:t>
            </w:r>
          </w:p>
        </w:tc>
        <w:tc>
          <w:tcPr>
            <w:tcW w:w="9043" w:type="dxa"/>
          </w:tcPr>
          <w:p w:rsidR="007A14AA" w:rsidRDefault="007A14AA" w:rsidP="007A14AA">
            <w:pPr>
              <w:tabs>
                <w:tab w:val="left" w:pos="5739"/>
              </w:tabs>
            </w:pPr>
            <w:r>
              <w:t>Für den Netzanalysator muss parallel zur Windowssoftware eine App für die Betriebssysteme iOS und Android geliefert werden.</w:t>
            </w:r>
          </w:p>
          <w:p w:rsidR="00BF10C7" w:rsidRDefault="007A14AA" w:rsidP="007A14AA">
            <w:pPr>
              <w:tabs>
                <w:tab w:val="left" w:pos="5739"/>
              </w:tabs>
            </w:pPr>
            <w:r>
              <w:t>Über die App können Onlinemessdaten wie Spannungen, Ströme, Leistungen, Energieverbrauch, THD, Spannungs- und Stromharmonische sowie die Information über die Anzahl der PQ-Ereignisse und Störschriebe angezeigt werden. -  Einstellungen wie Nennspannung, Wandlerfaktoren, Messintervall können direkt über die App verändert werden.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5:</w:t>
            </w:r>
          </w:p>
          <w:p w:rsidR="008C025F" w:rsidRPr="008C025F" w:rsidRDefault="008C025F" w:rsidP="005F2CBC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WinPQ </w:t>
            </w:r>
            <w:r w:rsidR="005F2CBC">
              <w:rPr>
                <w:b/>
              </w:rPr>
              <w:t>Datenbank</w:t>
            </w:r>
          </w:p>
        </w:tc>
        <w:tc>
          <w:tcPr>
            <w:tcW w:w="9043" w:type="dxa"/>
          </w:tcPr>
          <w:p w:rsidR="00BF10C7" w:rsidRDefault="007A14AA" w:rsidP="00BF10C7">
            <w:pPr>
              <w:tabs>
                <w:tab w:val="left" w:pos="5739"/>
              </w:tabs>
            </w:pPr>
            <w:r w:rsidRPr="007A14AA">
              <w:t>Alle Messdaten des Netzanalysators müssen über eine Exportschnittstelle in die bereits vorhandene PQ-Datenba</w:t>
            </w:r>
            <w:r w:rsidR="002B048E">
              <w:t>nk für festinstallierte PQ-</w:t>
            </w:r>
            <w:bookmarkStart w:id="0" w:name="_GoBack"/>
            <w:bookmarkEnd w:id="0"/>
            <w:r w:rsidRPr="007A14AA">
              <w:t>Messgeräte der Firma A. Eberle importiert werden können.</w:t>
            </w:r>
          </w:p>
        </w:tc>
      </w:tr>
    </w:tbl>
    <w:p w:rsidR="00BF10C7" w:rsidRPr="00BF10C7" w:rsidRDefault="00BF10C7" w:rsidP="007C7F5F">
      <w:pPr>
        <w:tabs>
          <w:tab w:val="left" w:pos="5739"/>
        </w:tabs>
      </w:pPr>
    </w:p>
    <w:sectPr w:rsidR="00BF10C7" w:rsidRPr="00BF10C7" w:rsidSect="00BF10C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7" w:rsidRDefault="00BF10C7" w:rsidP="00BF10C7">
      <w:pPr>
        <w:spacing w:after="0" w:line="240" w:lineRule="auto"/>
      </w:pPr>
      <w:r>
        <w:separator/>
      </w:r>
    </w:p>
  </w:endnote>
  <w:end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98525"/>
      <w:docPartObj>
        <w:docPartGallery w:val="Page Numbers (Bottom of Page)"/>
        <w:docPartUnique/>
      </w:docPartObj>
    </w:sdtPr>
    <w:sdtEndPr/>
    <w:sdtContent>
      <w:p w:rsidR="00BF10C7" w:rsidRDefault="00BF10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8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C7" w:rsidRDefault="00BF10C7" w:rsidP="00BF10C7">
    <w:pPr>
      <w:pStyle w:val="Fuzeile"/>
      <w:jc w:val="center"/>
    </w:pPr>
    <w:r w:rsidRPr="00BF10C7">
      <w:t xml:space="preserve">A. Eberle GmbH &amp; Co. KG </w:t>
    </w:r>
    <w:r w:rsidRPr="00BF10C7">
      <w:rPr>
        <w:rFonts w:cs="Calibri"/>
        <w:color w:val="F28A00"/>
      </w:rPr>
      <w:t>•</w:t>
    </w:r>
    <w:r w:rsidRPr="00BF10C7">
      <w:t xml:space="preserve"> Frankenstraße 160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90461 Nürnberg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info@a-eberle.de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7" w:rsidRDefault="00BF10C7" w:rsidP="00BF10C7">
      <w:pPr>
        <w:spacing w:after="0" w:line="240" w:lineRule="auto"/>
      </w:pPr>
      <w:r>
        <w:separator/>
      </w:r>
    </w:p>
  </w:footnote>
  <w:foot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BF10C7" w:rsidTr="00A529C2">
      <w:tc>
        <w:tcPr>
          <w:tcW w:w="5228" w:type="dxa"/>
          <w:vAlign w:val="bottom"/>
        </w:tcPr>
        <w:p w:rsidR="00BF10C7" w:rsidRPr="006F0C80" w:rsidRDefault="00BF10C7" w:rsidP="00D62252">
          <w:pPr>
            <w:pStyle w:val="Kopfzeile"/>
            <w:rPr>
              <w:color w:val="97999B"/>
            </w:rPr>
          </w:pPr>
          <w:r w:rsidRPr="006F0C80">
            <w:rPr>
              <w:color w:val="97999B"/>
            </w:rPr>
            <w:t>W</w:t>
          </w:r>
          <w:r w:rsidR="00D62252">
            <w:rPr>
              <w:color w:val="97999B"/>
            </w:rPr>
            <w:t>ir regeln das.</w:t>
          </w:r>
        </w:p>
      </w:tc>
      <w:tc>
        <w:tcPr>
          <w:tcW w:w="5228" w:type="dxa"/>
        </w:tcPr>
        <w:p w:rsidR="00BF10C7" w:rsidRDefault="00BF10C7" w:rsidP="00BF10C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4A77273" wp14:editId="06DEA010">
                <wp:extent cx="1336088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rt_mit_Bildmarke_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0C7" w:rsidRDefault="00BF10C7" w:rsidP="00BF1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C3766"/>
    <w:multiLevelType w:val="multilevel"/>
    <w:tmpl w:val="0E4A7A94"/>
    <w:numStyleLink w:val="Formatvorlage1"/>
  </w:abstractNum>
  <w:abstractNum w:abstractNumId="2" w15:restartNumberingAfterBreak="0">
    <w:nsid w:val="371B35B4"/>
    <w:multiLevelType w:val="multilevel"/>
    <w:tmpl w:val="0E4A7A94"/>
    <w:styleLink w:val="Formatvorlag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28A00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688"/>
    <w:multiLevelType w:val="hybridMultilevel"/>
    <w:tmpl w:val="2E722C9C"/>
    <w:lvl w:ilvl="0" w:tplc="644C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56DB"/>
    <w:multiLevelType w:val="multilevel"/>
    <w:tmpl w:val="0E4A7A94"/>
    <w:numStyleLink w:val="Formatvorlage1"/>
  </w:abstractNum>
  <w:abstractNum w:abstractNumId="5" w15:restartNumberingAfterBreak="0">
    <w:nsid w:val="4E555E28"/>
    <w:multiLevelType w:val="multilevel"/>
    <w:tmpl w:val="0E4A7A94"/>
    <w:numStyleLink w:val="Formatvorlage1"/>
  </w:abstractNum>
  <w:abstractNum w:abstractNumId="6" w15:restartNumberingAfterBreak="0">
    <w:nsid w:val="51E04E25"/>
    <w:multiLevelType w:val="multilevel"/>
    <w:tmpl w:val="0E4A7A94"/>
    <w:numStyleLink w:val="Formatvorlage1"/>
  </w:abstractNum>
  <w:abstractNum w:abstractNumId="7" w15:restartNumberingAfterBreak="0">
    <w:nsid w:val="5F631276"/>
    <w:multiLevelType w:val="multilevel"/>
    <w:tmpl w:val="0E4A7A94"/>
    <w:numStyleLink w:val="Formatvorlage1"/>
  </w:abstractNum>
  <w:abstractNum w:abstractNumId="8" w15:restartNumberingAfterBreak="0">
    <w:nsid w:val="65EC5D1E"/>
    <w:multiLevelType w:val="multilevel"/>
    <w:tmpl w:val="0E4A7A94"/>
    <w:numStyleLink w:val="Formatvorlage1"/>
  </w:abstractNum>
  <w:abstractNum w:abstractNumId="9" w15:restartNumberingAfterBreak="0">
    <w:nsid w:val="6FBB25B5"/>
    <w:multiLevelType w:val="multilevel"/>
    <w:tmpl w:val="0E4A7A94"/>
    <w:numStyleLink w:val="Formatvorlage1"/>
  </w:abstractNum>
  <w:abstractNum w:abstractNumId="10" w15:restartNumberingAfterBreak="0">
    <w:nsid w:val="7597044B"/>
    <w:multiLevelType w:val="multilevel"/>
    <w:tmpl w:val="0E4A7A94"/>
    <w:numStyleLink w:val="Formatvorlage1"/>
  </w:abstractNum>
  <w:abstractNum w:abstractNumId="11" w15:restartNumberingAfterBreak="0">
    <w:nsid w:val="76C77F55"/>
    <w:multiLevelType w:val="hybridMultilevel"/>
    <w:tmpl w:val="3612B366"/>
    <w:lvl w:ilvl="0" w:tplc="B8C4CD14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A4D3396"/>
    <w:multiLevelType w:val="multilevel"/>
    <w:tmpl w:val="0E4A7A94"/>
    <w:numStyleLink w:val="Formatvorlage1"/>
  </w:abstractNum>
  <w:abstractNum w:abstractNumId="13" w15:restartNumberingAfterBreak="0">
    <w:nsid w:val="7F566560"/>
    <w:multiLevelType w:val="multilevel"/>
    <w:tmpl w:val="0E4A7A94"/>
    <w:numStyleLink w:val="Formatvorlage1"/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8"/>
    <w:lvlOverride w:ilvl="0">
      <w:lvl w:ilvl="0">
        <w:start w:val="1"/>
        <w:numFmt w:val="bullet"/>
        <w:lvlText w:val=""/>
        <w:lvlJc w:val="left"/>
        <w:pPr>
          <w:ind w:left="510" w:hanging="340"/>
        </w:pPr>
        <w:rPr>
          <w:rFonts w:ascii="Symbol" w:hAnsi="Symbol" w:hint="default"/>
          <w:color w:val="F28A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7"/>
    <w:rsid w:val="00162999"/>
    <w:rsid w:val="002045A2"/>
    <w:rsid w:val="002B048E"/>
    <w:rsid w:val="004A0944"/>
    <w:rsid w:val="005A324A"/>
    <w:rsid w:val="005F2CBC"/>
    <w:rsid w:val="00691793"/>
    <w:rsid w:val="0076161C"/>
    <w:rsid w:val="007A14AA"/>
    <w:rsid w:val="007C7F5F"/>
    <w:rsid w:val="008C025F"/>
    <w:rsid w:val="00BF10C7"/>
    <w:rsid w:val="00C17457"/>
    <w:rsid w:val="00C960C8"/>
    <w:rsid w:val="00CE49A8"/>
    <w:rsid w:val="00D62252"/>
    <w:rsid w:val="00D941E0"/>
    <w:rsid w:val="00E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56944"/>
  <w15:chartTrackingRefBased/>
  <w15:docId w15:val="{1C4EE90C-07E7-409F-A1A7-69B3CA1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0C7"/>
  </w:style>
  <w:style w:type="paragraph" w:styleId="Fuzeile">
    <w:name w:val="footer"/>
    <w:basedOn w:val="Standard"/>
    <w:link w:val="Fu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0C7"/>
  </w:style>
  <w:style w:type="table" w:styleId="Tabellenraster">
    <w:name w:val="Table Grid"/>
    <w:basedOn w:val="NormaleTabelle"/>
    <w:uiPriority w:val="39"/>
    <w:rsid w:val="00BF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0C7"/>
    <w:pPr>
      <w:ind w:left="720"/>
      <w:contextualSpacing/>
    </w:pPr>
  </w:style>
  <w:style w:type="numbering" w:customStyle="1" w:styleId="Formatvorlage1">
    <w:name w:val="Formatvorlage1"/>
    <w:uiPriority w:val="99"/>
    <w:rsid w:val="00162999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Prgomet, Filip</dc:creator>
  <cp:keywords/>
  <dc:description/>
  <cp:lastModifiedBy>Prgomet, Filip</cp:lastModifiedBy>
  <cp:revision>6</cp:revision>
  <cp:lastPrinted>2022-05-18T09:42:00Z</cp:lastPrinted>
  <dcterms:created xsi:type="dcterms:W3CDTF">2022-05-18T11:34:00Z</dcterms:created>
  <dcterms:modified xsi:type="dcterms:W3CDTF">2022-05-23T14:19:00Z</dcterms:modified>
</cp:coreProperties>
</file>